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D22A4">
      <w:pPr>
        <w:pStyle w:val="3"/>
      </w:pPr>
      <w:r>
        <w:t>N</w:t>
      </w:r>
      <w:r>
        <w:rPr>
          <w:rFonts w:hint="eastAsia" w:eastAsia="宋体"/>
          <w:lang w:val="en-US" w:eastAsia="zh-CN"/>
        </w:rPr>
        <w:t>w</w:t>
      </w:r>
      <w:r>
        <w:t>spec LC-</w:t>
      </w:r>
      <w:r>
        <w:rPr>
          <w:rFonts w:hint="eastAsia" w:eastAsia="宋体"/>
          <w:lang w:val="en-US" w:eastAsia="zh-CN"/>
        </w:rPr>
        <w:t>8</w:t>
      </w:r>
      <w:r>
        <w:t>000 Smart HPLC System</w:t>
      </w:r>
    </w:p>
    <w:p w14:paraId="7537D381">
      <w:pPr>
        <w:pStyle w:val="4"/>
      </w:pPr>
      <w:r>
        <w:t>Overview</w:t>
      </w:r>
      <w:bookmarkStart w:id="0" w:name="_GoBack"/>
      <w:bookmarkEnd w:id="0"/>
    </w:p>
    <w:p w14:paraId="53755E1E">
      <w:r>
        <w:t>The LC-</w:t>
      </w:r>
      <w:r>
        <w:rPr>
          <w:rFonts w:hint="eastAsia" w:eastAsia="宋体"/>
          <w:lang w:val="en-US" w:eastAsia="zh-CN"/>
        </w:rPr>
        <w:t>8</w:t>
      </w:r>
      <w:r>
        <w:t>000 is a smart, modular HPLC system designed for high-performance gradient separations. Combining a precision  binary pump, variable wavelength detector, and an intelligent system controller, this system ensures stability, durability, and simplicity in operation—ideal for routine and advanced applications.</w:t>
      </w:r>
    </w:p>
    <w:p w14:paraId="13036636">
      <w:pPr>
        <w:pStyle w:val="4"/>
      </w:pPr>
      <w:r>
        <w:t>Key Features</w:t>
      </w:r>
    </w:p>
    <w:p w14:paraId="6FC765FE">
      <w:pPr>
        <w:rPr>
          <w:rFonts w:hint="eastAsia"/>
          <w:b/>
          <w:bCs/>
        </w:rPr>
      </w:pPr>
      <w:r>
        <w:rPr>
          <w:rFonts w:hint="eastAsia"/>
          <w:b/>
          <w:bCs/>
        </w:rPr>
        <w:t>I</w:t>
      </w:r>
      <w:r>
        <w:rPr>
          <w:rFonts w:hint="eastAsia"/>
          <w:b/>
          <w:bCs/>
        </w:rPr>
        <w:t>nfusion pump unit: Four-element low-pressure infusion pump</w:t>
      </w:r>
    </w:p>
    <w:p w14:paraId="21AFE84D">
      <w:pPr>
        <w:rPr>
          <w:rFonts w:hint="eastAsia"/>
        </w:rPr>
      </w:pPr>
      <w:r>
        <w:rPr>
          <w:rFonts w:hint="eastAsia" w:eastAsia="宋体"/>
          <w:lang w:val="en-US" w:eastAsia="zh-CN"/>
        </w:rPr>
        <w:t>1.</w:t>
      </w:r>
      <w:r>
        <w:rPr>
          <w:rFonts w:hint="eastAsia"/>
        </w:rPr>
        <w:t>Maximum pressure resistance: 6000 psi (40Mpa)</w:t>
      </w:r>
    </w:p>
    <w:p w14:paraId="0D0DF6EB">
      <w:pPr>
        <w:rPr>
          <w:rFonts w:hint="eastAsia"/>
        </w:rPr>
      </w:pPr>
      <w:r>
        <w:rPr>
          <w:rFonts w:hint="eastAsia"/>
        </w:rPr>
        <w:t>2. Flow rate range: 0.001-10,000 mL/min (increment 0.001mL/min)</w:t>
      </w:r>
    </w:p>
    <w:p w14:paraId="2B4D01EE">
      <w:pPr>
        <w:rPr>
          <w:rFonts w:hint="eastAsia"/>
        </w:rPr>
      </w:pPr>
      <w:r>
        <w:rPr>
          <w:rFonts w:hint="eastAsia"/>
        </w:rPr>
        <w:t>3. Flow accuracy: ≤0.06% RSD(ASTM)</w:t>
      </w:r>
    </w:p>
    <w:p w14:paraId="1B2D2CE6">
      <w:pPr>
        <w:rPr>
          <w:rFonts w:hint="eastAsia"/>
        </w:rPr>
      </w:pPr>
      <w:r>
        <w:rPr>
          <w:rFonts w:hint="eastAsia"/>
        </w:rPr>
        <w:t>4. Flow accuracy: ±0.2%</w:t>
      </w:r>
    </w:p>
    <w:p w14:paraId="3F1E7966">
      <w:pPr>
        <w:rPr>
          <w:rFonts w:hint="eastAsia"/>
        </w:rPr>
      </w:pPr>
      <w:r>
        <w:rPr>
          <w:rFonts w:hint="eastAsia"/>
        </w:rPr>
        <w:t>5. Pressure pulsation: ≤1%</w:t>
      </w:r>
    </w:p>
    <w:p w14:paraId="76B07CCA">
      <w:pPr>
        <w:rPr>
          <w:rFonts w:hint="eastAsia"/>
        </w:rPr>
      </w:pPr>
      <w:r>
        <w:rPr>
          <w:rFonts w:hint="eastAsia"/>
        </w:rPr>
        <w:t>6. Gradient accuracy: ±0.5%</w:t>
      </w:r>
    </w:p>
    <w:p w14:paraId="5E9B196E">
      <w:pPr>
        <w:rPr>
          <w:rFonts w:hint="eastAsia"/>
        </w:rPr>
      </w:pPr>
      <w:r>
        <w:rPr>
          <w:rFonts w:hint="eastAsia"/>
        </w:rPr>
        <w:t>7. Gradient repeatability: ≤0.1%</w:t>
      </w:r>
    </w:p>
    <w:p w14:paraId="00B0A506">
      <w:pPr>
        <w:rPr>
          <w:rFonts w:hint="eastAsia"/>
        </w:rPr>
      </w:pPr>
      <w:r>
        <w:rPr>
          <w:rFonts w:hint="eastAsia"/>
        </w:rPr>
        <w:t>8. Online cleaning of plungers: Standard configuration, high/medium/low speed</w:t>
      </w:r>
    </w:p>
    <w:p w14:paraId="11A06643">
      <w:pPr>
        <w:rPr>
          <w:rFonts w:hint="eastAsia"/>
        </w:rPr>
      </w:pPr>
      <w:r>
        <w:rPr>
          <w:rFonts w:hint="eastAsia"/>
        </w:rPr>
        <w:t>9. Channel volume: Four-channel degassing function, 480 μ L/channel</w:t>
      </w:r>
    </w:p>
    <w:p w14:paraId="0F5045D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b/>
          <w:bCs/>
        </w:rPr>
        <w:t>Detector: Ultraviolet-visible detector</w:t>
      </w:r>
    </w:p>
    <w:p w14:paraId="72C7D193">
      <w:pPr>
        <w:rPr>
          <w:rFonts w:hint="eastAsia"/>
        </w:rPr>
      </w:pPr>
      <w:r>
        <w:rPr>
          <w:rFonts w:hint="eastAsia" w:eastAsia="宋体"/>
          <w:lang w:val="en-US" w:eastAsia="zh-CN"/>
        </w:rPr>
        <w:t>1.</w:t>
      </w:r>
      <w:r>
        <w:rPr>
          <w:rFonts w:hint="eastAsia"/>
        </w:rPr>
        <w:t>Wavelength range: 190-800 nm</w:t>
      </w:r>
    </w:p>
    <w:p w14:paraId="6FE2FA15">
      <w:pPr>
        <w:rPr>
          <w:rFonts w:hint="eastAsia"/>
        </w:rPr>
      </w:pPr>
      <w:r>
        <w:rPr>
          <w:rFonts w:hint="eastAsia"/>
        </w:rPr>
        <w:t>2. Light sources: deuterium lamp, tungsten lamp</w:t>
      </w:r>
    </w:p>
    <w:p w14:paraId="2B5DF0C1">
      <w:pPr>
        <w:rPr>
          <w:rFonts w:hint="eastAsia"/>
        </w:rPr>
      </w:pPr>
      <w:r>
        <w:rPr>
          <w:rFonts w:hint="eastAsia"/>
        </w:rPr>
        <w:t>3. Spectral bandwidth: 8 nm</w:t>
      </w:r>
    </w:p>
    <w:p w14:paraId="16D63CC1">
      <w:pPr>
        <w:rPr>
          <w:rFonts w:hint="eastAsia"/>
        </w:rPr>
      </w:pPr>
      <w:r>
        <w:rPr>
          <w:rFonts w:hint="eastAsia"/>
        </w:rPr>
        <w:t>4. Wavelength accuracy: ±1 nm</w:t>
      </w:r>
    </w:p>
    <w:p w14:paraId="261A5813">
      <w:pPr>
        <w:rPr>
          <w:rFonts w:hint="eastAsia"/>
        </w:rPr>
      </w:pPr>
      <w:r>
        <w:rPr>
          <w:rFonts w:hint="eastAsia"/>
        </w:rPr>
        <w:t>5. Noise: ±0.35×10-5 AU (ASTM)</w:t>
      </w:r>
    </w:p>
    <w:p w14:paraId="0E514D73">
      <w:pPr>
        <w:rPr>
          <w:rFonts w:hint="eastAsia"/>
        </w:rPr>
      </w:pPr>
      <w:r>
        <w:rPr>
          <w:rFonts w:hint="eastAsia"/>
        </w:rPr>
        <w:t>6. Drift: 1×10-4 AU/Hr</w:t>
      </w:r>
    </w:p>
    <w:p w14:paraId="18F3C812">
      <w:pPr>
        <w:rPr>
          <w:rFonts w:hint="eastAsia"/>
        </w:rPr>
      </w:pPr>
      <w:r>
        <w:rPr>
          <w:rFonts w:hint="eastAsia"/>
        </w:rPr>
        <w:t>7. Wavelength accuracy: 0.2 nm</w:t>
      </w:r>
    </w:p>
    <w:p w14:paraId="43CCEF48">
      <w:pPr>
        <w:rPr>
          <w:rFonts w:hint="eastAsia"/>
        </w:rPr>
      </w:pPr>
      <w:r>
        <w:rPr>
          <w:rFonts w:hint="eastAsia"/>
        </w:rPr>
        <w:t>8. Linear range: &gt;2.5AU (ASTM)</w:t>
      </w:r>
    </w:p>
    <w:p w14:paraId="433D18D2">
      <w:pPr>
        <w:rPr>
          <w:rFonts w:hint="eastAsia"/>
        </w:rPr>
      </w:pPr>
      <w:r>
        <w:rPr>
          <w:rFonts w:hint="eastAsia"/>
        </w:rPr>
        <w:t>9. Maximum sampling rate: 100Hz</w:t>
      </w:r>
    </w:p>
    <w:p w14:paraId="3D09C76E">
      <w:pPr>
        <w:rPr>
          <w:rFonts w:hint="eastAsia"/>
        </w:rPr>
      </w:pPr>
      <w:r>
        <w:rPr>
          <w:rFonts w:hint="eastAsia"/>
        </w:rPr>
        <w:t>10. Pressure resistance of the flow cell: 1200PSI</w:t>
      </w:r>
    </w:p>
    <w:p w14:paraId="13EBFC25">
      <w:pPr>
        <w:rPr>
          <w:rFonts w:hint="eastAsia"/>
        </w:rPr>
      </w:pPr>
      <w:r>
        <w:rPr>
          <w:rFonts w:hint="eastAsia"/>
        </w:rPr>
        <w:t>11. Flow cell aperture: 10mm</w:t>
      </w:r>
    </w:p>
    <w:p w14:paraId="6BB6D050">
      <w:pPr>
        <w:rPr>
          <w:rFonts w:hint="eastAsia"/>
        </w:rPr>
      </w:pPr>
      <w:r>
        <w:rPr>
          <w:rFonts w:hint="eastAsia"/>
        </w:rPr>
        <w:t>12. Minimum detectable concentration: 4×10-9 g/mL</w:t>
      </w:r>
    </w:p>
    <w:p w14:paraId="4344B5D3">
      <w:pPr>
        <w:rPr>
          <w:rFonts w:hint="eastAsia"/>
          <w:b/>
          <w:bCs/>
        </w:rPr>
      </w:pPr>
      <w:r>
        <w:rPr>
          <w:rFonts w:hint="eastAsia"/>
          <w:b/>
          <w:bCs/>
        </w:rPr>
        <w:t>Sampler: Automatic sampler</w:t>
      </w:r>
    </w:p>
    <w:p w14:paraId="31D680B3">
      <w:pPr>
        <w:rPr>
          <w:rFonts w:hint="eastAsia"/>
        </w:rPr>
      </w:pPr>
      <w:r>
        <w:rPr>
          <w:rFonts w:hint="eastAsia"/>
        </w:rPr>
        <w:t>1. Injection mode: Full-loop injection/Partial injection/micro-liter carrier injection</w:t>
      </w:r>
    </w:p>
    <w:p w14:paraId="3B24C8E3">
      <w:pPr>
        <w:rPr>
          <w:rFonts w:hint="eastAsia"/>
        </w:rPr>
      </w:pPr>
      <w:r>
        <w:rPr>
          <w:rFonts w:hint="eastAsia"/>
        </w:rPr>
        <w:t>2. Quantitative loop volume: Standard configuration is 100 μL</w:t>
      </w:r>
    </w:p>
    <w:p w14:paraId="0CBE5E5B">
      <w:pPr>
        <w:rPr>
          <w:rFonts w:hint="eastAsia"/>
        </w:rPr>
      </w:pPr>
      <w:r>
        <w:rPr>
          <w:rFonts w:hint="eastAsia"/>
        </w:rPr>
        <w:t>3. Injection repeatability: Full-loop injection: RSD≤0.3%; Partial injection: RSD≤0.5%; micro-liter carryover injection: RSD≤1%</w:t>
      </w:r>
    </w:p>
    <w:p w14:paraId="79880347">
      <w:pPr>
        <w:rPr>
          <w:rFonts w:hint="eastAsia"/>
        </w:rPr>
      </w:pPr>
      <w:r>
        <w:rPr>
          <w:rFonts w:hint="eastAsia"/>
        </w:rPr>
        <w:t>4. Sample capacity: 2 standard 48-position sample bottle racks, 1.5mL injection bottles (standard configuration)</w:t>
      </w:r>
    </w:p>
    <w:p w14:paraId="67E009B3">
      <w:pPr>
        <w:rPr>
          <w:rFonts w:hint="eastAsia"/>
        </w:rPr>
      </w:pPr>
      <w:r>
        <w:rPr>
          <w:rFonts w:hint="eastAsia"/>
        </w:rPr>
        <w:t>(96-well plate and 384-well plate are optional)</w:t>
      </w:r>
    </w:p>
    <w:p w14:paraId="0D5D11B7">
      <w:pPr>
        <w:rPr>
          <w:rFonts w:hint="eastAsia"/>
        </w:rPr>
      </w:pPr>
      <w:r>
        <w:rPr>
          <w:rFonts w:hint="eastAsia"/>
        </w:rPr>
        <w:t>5. Cross-contamination: &lt; 0.005%</w:t>
      </w:r>
    </w:p>
    <w:p w14:paraId="43A045E0">
      <w:pPr>
        <w:rPr>
          <w:rFonts w:hint="eastAsia"/>
        </w:rPr>
      </w:pPr>
      <w:r>
        <w:rPr>
          <w:rFonts w:hint="eastAsia"/>
        </w:rPr>
        <w:t>6. Linearity: 0.9999</w:t>
      </w:r>
    </w:p>
    <w:p w14:paraId="047F66AC">
      <w:pPr>
        <w:rPr>
          <w:rFonts w:hint="eastAsia"/>
        </w:rPr>
      </w:pPr>
      <w:r>
        <w:rPr>
          <w:rFonts w:hint="eastAsia"/>
        </w:rPr>
        <w:t>7. Maximum pressure resistance: 6000psi (customizable)</w:t>
      </w:r>
    </w:p>
    <w:p w14:paraId="506966CD">
      <w:pPr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 xml:space="preserve"> Column oven</w:t>
      </w:r>
    </w:p>
    <w:p w14:paraId="0879557E"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1.Temperature control range: Room temperature +5℃-70℃</w:t>
      </w:r>
    </w:p>
    <w:p w14:paraId="572E2B51"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2. Temperature accuracy: ±1.0℃</w:t>
      </w:r>
    </w:p>
    <w:p w14:paraId="29982E59"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3. Temperature stability: ±0.1℃</w:t>
      </w:r>
    </w:p>
    <w:p w14:paraId="04BA4AD1"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4. Column capacity: 1 250mm chromatographic column (1 10mm guard column can be added)</w:t>
      </w:r>
    </w:p>
    <w:p w14:paraId="04AE2821">
      <w:pPr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Chromatographic column</w:t>
      </w:r>
    </w:p>
    <w:p w14:paraId="560E82C6"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Standard configuration: C8,250×4.6mm,5um</w:t>
      </w:r>
    </w:p>
    <w:p w14:paraId="5E085360">
      <w:pPr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Chromatography workstation</w:t>
      </w:r>
    </w:p>
    <w:p w14:paraId="15D5B204"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1. Regulatory applicability: Complies with FDA 21 CFR Part11/GMP/GLP standards;</w:t>
      </w:r>
    </w:p>
    <w:p w14:paraId="2CA779DB"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2. Ease of use: The graphical monitoring interface enables you to keep track of the device status at any time, making it simple and easy to use.</w:t>
      </w:r>
    </w:p>
    <w:p w14:paraId="61B171ED"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3. Data Processing: Powerful data processing capabilities, providing multiple integration functions and calculation methods;</w:t>
      </w:r>
    </w:p>
    <w:p w14:paraId="0707E494"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4. Rich functions: Automatic peak width, automatic threshold algorithm, adaptive data collection, and automatic algorithm adjustment to achieve the best integration effect;</w:t>
      </w:r>
    </w:p>
    <w:p w14:paraId="48EA85FB"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5. User Management: It features a powerful and comprehensive user management function, allowing for the setting of access permissions for convenient management. Different usage permissions can be set according to actual needs.</w:t>
      </w:r>
    </w:p>
    <w:sectPr>
      <w:headerReference r:id="rId5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91B3B">
    <w:pPr>
      <w:pStyle w:val="25"/>
      <w:rPr>
        <w:rFonts w:hint="default" w:eastAsia="宋体"/>
        <w:lang w:val="en-US" w:eastAsia="zh-CN"/>
      </w:rPr>
    </w:pPr>
    <w:r>
      <w:drawing>
        <wp:inline distT="0" distB="0" distL="114300" distR="114300">
          <wp:extent cx="5483225" cy="551180"/>
          <wp:effectExtent l="0" t="0" r="635" b="1016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322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5796E8A"/>
    <w:rsid w:val="06222AC7"/>
    <w:rsid w:val="0F426E96"/>
    <w:rsid w:val="12BE1D98"/>
    <w:rsid w:val="132378C8"/>
    <w:rsid w:val="170C2C5F"/>
    <w:rsid w:val="5DBC1ADE"/>
    <w:rsid w:val="665A38F8"/>
    <w:rsid w:val="6D12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195</Words>
  <Characters>1224</Characters>
  <Lines>0</Lines>
  <Paragraphs>0</Paragraphs>
  <TotalTime>33</TotalTime>
  <ScaleCrop>false</ScaleCrop>
  <LinksUpToDate>false</LinksUpToDate>
  <CharactersWithSpaces>1398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WPS_1702950881</cp:lastModifiedBy>
  <dcterms:modified xsi:type="dcterms:W3CDTF">2025-07-24T06:58:51Z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eyJoZGlkIjoiZTNiMmJjMGUyMDNhMGI0MjllZTc4OTE3ODRjOTBjMWQiLCJ1c2VySWQiOiIxNTY1ODUwNzg3In0=</vt:lpwstr>
  </property>
  <property fmtid="{D5CDD505-2E9C-101B-9397-08002B2CF9AE}" pid="3" name="KSOProductBuildVer">
    <vt:lpwstr>2052-12.1.0.21915</vt:lpwstr>
  </property>
  <property fmtid="{D5CDD505-2E9C-101B-9397-08002B2CF9AE}" pid="4" name="ICV">
    <vt:lpwstr>A8DB521E96AA4DF0B341CBAD31936B06_13</vt:lpwstr>
  </property>
</Properties>
</file>